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48" w:rsidRPr="007E7F86" w:rsidRDefault="009B5548" w:rsidP="001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7F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80. Zakona o javnoj nabavi – sprječavanje sukoba interesa</w:t>
      </w:r>
    </w:p>
    <w:p w:rsidR="001C0D8A" w:rsidRDefault="001C0D8A" w:rsidP="007E7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D8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80. stavka 2. Zakona o javnoj nabavi („Narodne novine“, broj 120</w:t>
      </w:r>
      <w:r w:rsidR="007E7F86" w:rsidRPr="007E7F86">
        <w:rPr>
          <w:rFonts w:ascii="Times New Roman" w:eastAsia="Times New Roman" w:hAnsi="Times New Roman" w:cs="Times New Roman"/>
          <w:sz w:val="24"/>
          <w:szCs w:val="24"/>
          <w:lang w:eastAsia="hr-HR"/>
        </w:rPr>
        <w:t>/16) Centar za kulturu Grada Novog Vinodolskog kao naručitelj objavljuje da nema</w:t>
      </w:r>
      <w:r w:rsidRPr="001C0D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gospodarskih subjekata s kojima je predstavnik naručitelja iz članka 76. stavka 2. točke 1. ZJN 2016. ili s njim po</w:t>
      </w:r>
      <w:r w:rsidR="007E7F86" w:rsidRPr="007E7F86">
        <w:rPr>
          <w:rFonts w:ascii="Times New Roman" w:eastAsia="Times New Roman" w:hAnsi="Times New Roman" w:cs="Times New Roman"/>
          <w:sz w:val="24"/>
          <w:szCs w:val="24"/>
          <w:lang w:eastAsia="hr-HR"/>
        </w:rPr>
        <w:t>vezana osoba u sukobu interesa.</w:t>
      </w:r>
    </w:p>
    <w:p w:rsidR="005A49F6" w:rsidRDefault="005A49F6" w:rsidP="007E7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5A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A"/>
    <w:rsid w:val="001C0D8A"/>
    <w:rsid w:val="005A49F6"/>
    <w:rsid w:val="00665862"/>
    <w:rsid w:val="007E7F86"/>
    <w:rsid w:val="009B5548"/>
    <w:rsid w:val="00FA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BCA86-CB90-4B5C-8E44-DD990DDE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2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Tomić</dc:creator>
  <cp:keywords/>
  <dc:description/>
  <cp:lastModifiedBy>Zoran Tomić</cp:lastModifiedBy>
  <cp:revision>3</cp:revision>
  <dcterms:created xsi:type="dcterms:W3CDTF">2017-05-04T07:54:00Z</dcterms:created>
  <dcterms:modified xsi:type="dcterms:W3CDTF">2017-05-04T09:54:00Z</dcterms:modified>
</cp:coreProperties>
</file>